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ANUNȚ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ELEVI</w:t>
      </w:r>
    </w:p>
    <w:p>
      <w:pPr>
        <w:pStyle w:val="2"/>
        <w:spacing w:before="314"/>
        <w:ind w:right="1367"/>
      </w:pPr>
      <w:bookmarkStart w:id="0" w:name="EXTRAS_DIN_OMEN_4916/2019"/>
      <w:bookmarkEnd w:id="0"/>
      <w:r>
        <w:t>EXTRAS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OMEC</w:t>
      </w:r>
      <w:r>
        <w:rPr>
          <w:spacing w:val="-4"/>
        </w:rPr>
        <w:t xml:space="preserve"> 5455</w:t>
      </w:r>
      <w:r>
        <w:t>/2020</w:t>
      </w:r>
    </w:p>
    <w:p>
      <w:pPr>
        <w:pStyle w:val="5"/>
        <w:spacing w:before="6"/>
        <w:ind w:right="116"/>
      </w:pPr>
      <w:r>
        <w:rPr>
          <w:b/>
        </w:rPr>
        <w:t xml:space="preserve">Art. </w:t>
      </w:r>
      <w:r>
        <w:rPr>
          <w:rFonts w:hint="default"/>
          <w:b/>
          <w:lang w:val="ro-RO"/>
        </w:rPr>
        <w:t>7</w:t>
      </w:r>
      <w:bookmarkStart w:id="2" w:name="_GoBack"/>
      <w:bookmarkEnd w:id="2"/>
      <w:r>
        <w:rPr>
          <w:b/>
        </w:rPr>
        <w:t xml:space="preserve">. - (1) </w:t>
      </w:r>
      <w:r>
        <w:t>Se interzice candidaţilor la evaluarea naţională să introducă în sălile de examen</w:t>
      </w:r>
      <w:r>
        <w:rPr>
          <w:spacing w:val="-58"/>
        </w:rPr>
        <w:t xml:space="preserve"> </w:t>
      </w:r>
      <w:r>
        <w:t>ghiozdane, rucsacuri, sacoşe, poşete şi altele asemenea, candidaţii având obligaţia de a lăsa</w:t>
      </w:r>
      <w:r>
        <w:rPr>
          <w:spacing w:val="1"/>
        </w:rPr>
        <w:t xml:space="preserve"> </w:t>
      </w:r>
      <w:r>
        <w:t>obiectele menţionate în sala de depozitare a obiectelor personale stabilită de comisia din</w:t>
      </w:r>
      <w:r>
        <w:rPr>
          <w:spacing w:val="1"/>
        </w:rPr>
        <w:t xml:space="preserve"> </w:t>
      </w:r>
      <w:r>
        <w:t>unitatea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învăţământ/centrul de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în acest scop.</w:t>
      </w:r>
    </w:p>
    <w:p>
      <w:pPr>
        <w:pStyle w:val="7"/>
        <w:numPr>
          <w:ilvl w:val="0"/>
          <w:numId w:val="1"/>
        </w:numPr>
        <w:tabs>
          <w:tab w:val="left" w:pos="649"/>
        </w:tabs>
        <w:ind w:left="115" w:firstLine="180"/>
        <w:jc w:val="both"/>
        <w:rPr>
          <w:sz w:val="24"/>
        </w:rPr>
      </w:pPr>
      <w:r>
        <w:rPr>
          <w:sz w:val="24"/>
        </w:rPr>
        <w:t>Candidaţii care refuză să depoziteze obiectele menţionate la alin. (1) în sala stabilită de</w:t>
      </w:r>
      <w:r>
        <w:rPr>
          <w:spacing w:val="1"/>
          <w:sz w:val="24"/>
        </w:rPr>
        <w:t xml:space="preserve"> </w:t>
      </w:r>
      <w:r>
        <w:rPr>
          <w:sz w:val="24"/>
        </w:rPr>
        <w:t>comisie</w:t>
      </w:r>
      <w:r>
        <w:rPr>
          <w:spacing w:val="-2"/>
          <w:sz w:val="24"/>
        </w:rPr>
        <w:t xml:space="preserve"> </w:t>
      </w:r>
      <w:r>
        <w:rPr>
          <w:sz w:val="24"/>
        </w:rPr>
        <w:t>în acest scop</w:t>
      </w:r>
      <w:r>
        <w:rPr>
          <w:spacing w:val="2"/>
          <w:sz w:val="24"/>
        </w:rPr>
        <w:t xml:space="preserve"> </w:t>
      </w:r>
      <w:r>
        <w:rPr>
          <w:sz w:val="24"/>
        </w:rPr>
        <w:t>nu sunt</w:t>
      </w:r>
      <w:r>
        <w:rPr>
          <w:spacing w:val="-2"/>
          <w:sz w:val="24"/>
        </w:rPr>
        <w:t xml:space="preserve"> </w:t>
      </w:r>
      <w:r>
        <w:rPr>
          <w:sz w:val="24"/>
        </w:rPr>
        <w:t>primiţi în</w:t>
      </w:r>
      <w:r>
        <w:rPr>
          <w:spacing w:val="4"/>
          <w:sz w:val="24"/>
        </w:rPr>
        <w:t xml:space="preserve"> </w:t>
      </w:r>
      <w:r>
        <w:rPr>
          <w:sz w:val="24"/>
        </w:rPr>
        <w:t>examen.</w:t>
      </w:r>
    </w:p>
    <w:p>
      <w:pPr>
        <w:pStyle w:val="7"/>
        <w:numPr>
          <w:ilvl w:val="0"/>
          <w:numId w:val="1"/>
        </w:numPr>
        <w:tabs>
          <w:tab w:val="left" w:pos="635"/>
        </w:tabs>
        <w:ind w:left="115" w:right="114" w:firstLine="180"/>
        <w:jc w:val="both"/>
        <w:rPr>
          <w:sz w:val="24"/>
        </w:rPr>
      </w:pPr>
      <w:r>
        <w:rPr>
          <w:sz w:val="24"/>
        </w:rPr>
        <w:t>Se interzice candidaţilor la evaluarea naţională să aibă, în sălile de examen, asupra lor, în</w:t>
      </w:r>
      <w:r>
        <w:rPr>
          <w:spacing w:val="-57"/>
          <w:sz w:val="24"/>
        </w:rPr>
        <w:t xml:space="preserve"> </w:t>
      </w:r>
      <w:r>
        <w:rPr>
          <w:sz w:val="24"/>
        </w:rPr>
        <w:t>obiectele de îmbrăcăminte sau încălţăminte, în penare şi altele asemenea ori în băncile în care</w:t>
      </w:r>
      <w:r>
        <w:rPr>
          <w:spacing w:val="1"/>
          <w:sz w:val="24"/>
        </w:rPr>
        <w:t xml:space="preserve"> </w:t>
      </w:r>
      <w:r>
        <w:rPr>
          <w:sz w:val="24"/>
        </w:rPr>
        <w:t>sunt aşezaţi în sălile de examen, orice fel de lucrări: manuale, cărţi, dicţionare, culegeri,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formulare, memoratoare, notiţe, </w:t>
      </w:r>
      <w:r>
        <w:rPr>
          <w:sz w:val="24"/>
        </w:rPr>
        <w:t>însemnări, rezumate, ciorne sau lucrări ale altor candidaţi etc.,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-1"/>
          <w:sz w:val="24"/>
        </w:rPr>
        <w:t xml:space="preserve"> </w:t>
      </w:r>
      <w:r>
        <w:rPr>
          <w:sz w:val="24"/>
        </w:rPr>
        <w:t>fi</w:t>
      </w:r>
      <w:r>
        <w:rPr>
          <w:spacing w:val="2"/>
          <w:sz w:val="24"/>
        </w:rPr>
        <w:t xml:space="preserve"> </w:t>
      </w:r>
      <w:r>
        <w:rPr>
          <w:sz w:val="24"/>
        </w:rPr>
        <w:t>utilizate</w:t>
      </w:r>
      <w:r>
        <w:rPr>
          <w:spacing w:val="-2"/>
          <w:sz w:val="24"/>
        </w:rPr>
        <w:t xml:space="preserve"> </w:t>
      </w:r>
      <w:r>
        <w:rPr>
          <w:sz w:val="24"/>
        </w:rPr>
        <w:t>pentru rezolvarea</w:t>
      </w:r>
      <w:r>
        <w:rPr>
          <w:spacing w:val="-4"/>
          <w:sz w:val="24"/>
        </w:rPr>
        <w:t xml:space="preserve"> </w:t>
      </w:r>
      <w:r>
        <w:rPr>
          <w:sz w:val="24"/>
        </w:rPr>
        <w:t>subiectelor.</w:t>
      </w:r>
    </w:p>
    <w:p>
      <w:pPr>
        <w:pStyle w:val="7"/>
        <w:numPr>
          <w:ilvl w:val="0"/>
          <w:numId w:val="1"/>
        </w:numPr>
        <w:tabs>
          <w:tab w:val="left" w:pos="702"/>
        </w:tabs>
        <w:ind w:left="115" w:right="110" w:firstLine="18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interzice</w:t>
      </w:r>
      <w:r>
        <w:rPr>
          <w:spacing w:val="1"/>
          <w:sz w:val="24"/>
        </w:rPr>
        <w:t xml:space="preserve"> </w:t>
      </w:r>
      <w:r>
        <w:rPr>
          <w:sz w:val="24"/>
        </w:rPr>
        <w:t>candidaţilor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>
        <w:rPr>
          <w:sz w:val="24"/>
        </w:rPr>
        <w:t>aibă,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sălile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examen,</w:t>
      </w:r>
      <w:r>
        <w:rPr>
          <w:spacing w:val="1"/>
          <w:sz w:val="24"/>
        </w:rPr>
        <w:t xml:space="preserve"> </w:t>
      </w:r>
      <w:r>
        <w:rPr>
          <w:sz w:val="24"/>
        </w:rPr>
        <w:t>asupra</w:t>
      </w:r>
      <w:r>
        <w:rPr>
          <w:spacing w:val="1"/>
          <w:sz w:val="24"/>
        </w:rPr>
        <w:t xml:space="preserve"> </w:t>
      </w:r>
      <w:r>
        <w:rPr>
          <w:sz w:val="24"/>
        </w:rPr>
        <w:t>lor,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obiectele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îmbrăcăminte sau încălţăminte, în penare şi altele asemenea sau în băncile în care sunt aşezaţi</w:t>
      </w:r>
      <w:r>
        <w:rPr>
          <w:spacing w:val="1"/>
          <w:sz w:val="24"/>
        </w:rPr>
        <w:t xml:space="preserve"> </w:t>
      </w:r>
      <w:r>
        <w:rPr>
          <w:sz w:val="24"/>
        </w:rPr>
        <w:t>în sălile de examen, telefoane mobile, căşti audio, precum şi orice mijloc electronic de calcul</w:t>
      </w:r>
      <w:r>
        <w:rPr>
          <w:spacing w:val="1"/>
          <w:sz w:val="24"/>
        </w:rPr>
        <w:t xml:space="preserve"> </w:t>
      </w:r>
      <w:r>
        <w:rPr>
          <w:sz w:val="24"/>
        </w:rPr>
        <w:t>sau de comunicare/care permite conectarea la internet/la reţele de socializare, care ar putea fi</w:t>
      </w:r>
      <w:r>
        <w:rPr>
          <w:spacing w:val="1"/>
          <w:sz w:val="24"/>
        </w:rPr>
        <w:t xml:space="preserve"> </w:t>
      </w:r>
      <w:r>
        <w:rPr>
          <w:sz w:val="24"/>
        </w:rPr>
        <w:t>utilizate pentru rezolvarea subiectelor, pentru efectuarea calculelor, pentru comunicare cu alţi</w:t>
      </w:r>
      <w:r>
        <w:rPr>
          <w:spacing w:val="1"/>
          <w:sz w:val="24"/>
        </w:rPr>
        <w:t xml:space="preserve"> </w:t>
      </w:r>
      <w:r>
        <w:rPr>
          <w:sz w:val="24"/>
        </w:rPr>
        <w:t>candidaţi/asistenţi</w:t>
      </w:r>
      <w:r>
        <w:rPr>
          <w:spacing w:val="1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unitatea/unităţile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învăţământ/centrul/centrele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exteriorul.</w:t>
      </w:r>
    </w:p>
    <w:p>
      <w:pPr>
        <w:pStyle w:val="7"/>
        <w:numPr>
          <w:ilvl w:val="0"/>
          <w:numId w:val="1"/>
        </w:numPr>
        <w:tabs>
          <w:tab w:val="left" w:pos="649"/>
        </w:tabs>
        <w:ind w:left="115" w:right="113" w:firstLine="180"/>
        <w:jc w:val="both"/>
        <w:rPr>
          <w:sz w:val="24"/>
        </w:rPr>
      </w:pPr>
      <w:r>
        <w:rPr>
          <w:sz w:val="24"/>
        </w:rPr>
        <w:t>Se interzice candidaţilor să comunice între ei sau cu exteriorul, să copieze, să transmită</w:t>
      </w:r>
      <w:r>
        <w:rPr>
          <w:spacing w:val="1"/>
          <w:sz w:val="24"/>
        </w:rPr>
        <w:t xml:space="preserve"> </w:t>
      </w:r>
      <w:r>
        <w:rPr>
          <w:sz w:val="24"/>
        </w:rPr>
        <w:t>materiale care permit copiatul sau să schimbe între ei foi din lucrare, ciorne, notiţe sau alte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putea</w:t>
      </w:r>
      <w:r>
        <w:rPr>
          <w:spacing w:val="1"/>
          <w:sz w:val="24"/>
        </w:rPr>
        <w:t xml:space="preserve"> </w:t>
      </w:r>
      <w:r>
        <w:rPr>
          <w:sz w:val="24"/>
        </w:rPr>
        <w:t>fi utilizate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rezolvarea</w:t>
      </w:r>
      <w:r>
        <w:rPr>
          <w:spacing w:val="1"/>
          <w:sz w:val="24"/>
        </w:rPr>
        <w:t xml:space="preserve"> </w:t>
      </w:r>
      <w:r>
        <w:rPr>
          <w:sz w:val="24"/>
        </w:rPr>
        <w:t>subiectelor,</w:t>
      </w:r>
      <w:r>
        <w:rPr>
          <w:spacing w:val="1"/>
          <w:sz w:val="24"/>
        </w:rPr>
        <w:t xml:space="preserve"> </w:t>
      </w:r>
      <w:r>
        <w:rPr>
          <w:sz w:val="24"/>
        </w:rPr>
        <w:t>pentru comunicare</w:t>
      </w:r>
      <w:r>
        <w:rPr>
          <w:spacing w:val="1"/>
          <w:sz w:val="24"/>
        </w:rPr>
        <w:t xml:space="preserve"> </w:t>
      </w:r>
      <w:r>
        <w:rPr>
          <w:sz w:val="24"/>
        </w:rPr>
        <w:t>între</w:t>
      </w:r>
      <w:r>
        <w:rPr>
          <w:spacing w:val="1"/>
          <w:sz w:val="24"/>
        </w:rPr>
        <w:t xml:space="preserve"> </w:t>
      </w:r>
      <w:r>
        <w:rPr>
          <w:sz w:val="24"/>
        </w:rPr>
        <w:t>candidaţi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2"/>
          <w:sz w:val="24"/>
        </w:rPr>
        <w:t xml:space="preserve"> </w:t>
      </w:r>
      <w:r>
        <w:rPr>
          <w:sz w:val="24"/>
        </w:rPr>
        <w:t>cu exteriorul.</w:t>
      </w:r>
    </w:p>
    <w:p>
      <w:pPr>
        <w:pStyle w:val="7"/>
        <w:numPr>
          <w:ilvl w:val="0"/>
          <w:numId w:val="1"/>
        </w:numPr>
        <w:tabs>
          <w:tab w:val="left" w:pos="630"/>
        </w:tabs>
        <w:ind w:left="115" w:right="111" w:firstLine="180"/>
        <w:jc w:val="both"/>
        <w:rPr>
          <w:sz w:val="24"/>
        </w:rPr>
      </w:pPr>
      <w:r>
        <w:rPr>
          <w:sz w:val="24"/>
        </w:rPr>
        <w:t>Încălcarea</w:t>
      </w:r>
      <w:r>
        <w:rPr>
          <w:spacing w:val="-6"/>
          <w:sz w:val="24"/>
        </w:rPr>
        <w:t xml:space="preserve"> </w:t>
      </w:r>
      <w:r>
        <w:rPr>
          <w:sz w:val="24"/>
        </w:rPr>
        <w:t>regulilor</w:t>
      </w:r>
      <w:r>
        <w:rPr>
          <w:spacing w:val="-6"/>
          <w:sz w:val="24"/>
        </w:rPr>
        <w:t xml:space="preserve"> </w:t>
      </w:r>
      <w:r>
        <w:rPr>
          <w:sz w:val="24"/>
        </w:rPr>
        <w:t>menţionate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alin.</w:t>
      </w:r>
      <w:r>
        <w:rPr>
          <w:spacing w:val="-5"/>
          <w:sz w:val="24"/>
        </w:rPr>
        <w:t xml:space="preserve"> </w:t>
      </w:r>
      <w:r>
        <w:rPr>
          <w:sz w:val="24"/>
        </w:rPr>
        <w:t>(3)-(5)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8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considerată</w:t>
      </w:r>
      <w:r>
        <w:rPr>
          <w:spacing w:val="-6"/>
          <w:sz w:val="24"/>
        </w:rPr>
        <w:t xml:space="preserve"> </w:t>
      </w:r>
      <w:r>
        <w:rPr>
          <w:sz w:val="24"/>
        </w:rPr>
        <w:t>fraudă/tentativă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fraudă,</w:t>
      </w:r>
      <w:r>
        <w:rPr>
          <w:spacing w:val="-57"/>
          <w:sz w:val="24"/>
        </w:rPr>
        <w:t xml:space="preserve"> </w:t>
      </w:r>
      <w:r>
        <w:rPr>
          <w:sz w:val="24"/>
        </w:rPr>
        <w:t>iar</w:t>
      </w:r>
      <w:r>
        <w:rPr>
          <w:spacing w:val="1"/>
          <w:sz w:val="24"/>
        </w:rPr>
        <w:t xml:space="preserve"> </w:t>
      </w:r>
      <w:r>
        <w:rPr>
          <w:sz w:val="24"/>
        </w:rPr>
        <w:t>candidaţii</w:t>
      </w:r>
      <w:r>
        <w:rPr>
          <w:spacing w:val="1"/>
          <w:sz w:val="24"/>
        </w:rPr>
        <w:t xml:space="preserve"> </w:t>
      </w:r>
      <w:r>
        <w:rPr>
          <w:sz w:val="24"/>
        </w:rPr>
        <w:t>respectivi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eliminaţi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proba</w:t>
      </w:r>
      <w:r>
        <w:rPr>
          <w:spacing w:val="1"/>
          <w:sz w:val="24"/>
        </w:rPr>
        <w:t xml:space="preserve"> </w:t>
      </w:r>
      <w:r>
        <w:rPr>
          <w:sz w:val="24"/>
        </w:rPr>
        <w:t>respectivă,</w:t>
      </w:r>
      <w:r>
        <w:rPr>
          <w:spacing w:val="1"/>
          <w:sz w:val="24"/>
        </w:rPr>
        <w:t xml:space="preserve"> </w:t>
      </w:r>
      <w:r>
        <w:rPr>
          <w:sz w:val="24"/>
        </w:rPr>
        <w:t>indiferent</w:t>
      </w:r>
      <w:r>
        <w:rPr>
          <w:spacing w:val="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materialele/obiectele</w:t>
      </w:r>
      <w:r>
        <w:rPr>
          <w:spacing w:val="-15"/>
          <w:sz w:val="24"/>
        </w:rPr>
        <w:t xml:space="preserve"> </w:t>
      </w:r>
      <w:r>
        <w:rPr>
          <w:sz w:val="24"/>
        </w:rPr>
        <w:t>interzise</w:t>
      </w:r>
      <w:r>
        <w:rPr>
          <w:spacing w:val="-12"/>
          <w:sz w:val="24"/>
        </w:rPr>
        <w:t xml:space="preserve"> </w:t>
      </w:r>
      <w:r>
        <w:rPr>
          <w:sz w:val="24"/>
        </w:rPr>
        <w:t>au</w:t>
      </w:r>
      <w:r>
        <w:rPr>
          <w:spacing w:val="-12"/>
          <w:sz w:val="24"/>
        </w:rPr>
        <w:t xml:space="preserve"> </w:t>
      </w:r>
      <w:r>
        <w:rPr>
          <w:sz w:val="24"/>
        </w:rPr>
        <w:t>fost</w:t>
      </w:r>
      <w:r>
        <w:rPr>
          <w:spacing w:val="-6"/>
          <w:sz w:val="24"/>
        </w:rPr>
        <w:t xml:space="preserve"> </w:t>
      </w:r>
      <w:r>
        <w:rPr>
          <w:sz w:val="24"/>
        </w:rPr>
        <w:t>folosite</w:t>
      </w:r>
      <w:r>
        <w:rPr>
          <w:spacing w:val="-15"/>
          <w:sz w:val="24"/>
        </w:rPr>
        <w:t xml:space="preserve"> </w:t>
      </w:r>
      <w:r>
        <w:rPr>
          <w:sz w:val="24"/>
        </w:rPr>
        <w:t>sau</w:t>
      </w:r>
      <w:r>
        <w:rPr>
          <w:spacing w:val="-11"/>
          <w:sz w:val="24"/>
        </w:rPr>
        <w:t xml:space="preserve"> </w:t>
      </w:r>
      <w:r>
        <w:rPr>
          <w:sz w:val="24"/>
        </w:rPr>
        <w:t>nu,</w:t>
      </w:r>
      <w:r>
        <w:rPr>
          <w:spacing w:val="-12"/>
          <w:sz w:val="24"/>
        </w:rPr>
        <w:t xml:space="preserve"> </w:t>
      </w:r>
      <w:r>
        <w:rPr>
          <w:sz w:val="24"/>
        </w:rPr>
        <w:t>indiferent</w:t>
      </w:r>
      <w:r>
        <w:rPr>
          <w:spacing w:val="-11"/>
          <w:sz w:val="24"/>
        </w:rPr>
        <w:t xml:space="preserve"> </w:t>
      </w:r>
      <w:r>
        <w:rPr>
          <w:sz w:val="24"/>
        </w:rPr>
        <w:t>dacă</w:t>
      </w:r>
      <w:r>
        <w:rPr>
          <w:spacing w:val="-15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fost</w:t>
      </w:r>
      <w:r>
        <w:rPr>
          <w:spacing w:val="-12"/>
          <w:sz w:val="24"/>
        </w:rPr>
        <w:t xml:space="preserve"> </w:t>
      </w:r>
      <w:r>
        <w:rPr>
          <w:sz w:val="24"/>
        </w:rPr>
        <w:t>introduse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aceştia</w:t>
      </w:r>
      <w:r>
        <w:rPr>
          <w:spacing w:val="-57"/>
          <w:sz w:val="24"/>
        </w:rPr>
        <w:t xml:space="preserve"> </w:t>
      </w:r>
      <w:r>
        <w:rPr>
          <w:sz w:val="24"/>
        </w:rPr>
        <w:t>ori de alţi candidaţi, de cadre didactice din comisie sau de alte persoane şi indiferent dacă ei au</w:t>
      </w:r>
      <w:r>
        <w:rPr>
          <w:spacing w:val="-57"/>
          <w:sz w:val="24"/>
        </w:rPr>
        <w:t xml:space="preserve"> </w:t>
      </w:r>
      <w:r>
        <w:rPr>
          <w:sz w:val="24"/>
        </w:rPr>
        <w:t>primit</w:t>
      </w:r>
      <w:r>
        <w:rPr>
          <w:spacing w:val="-3"/>
          <w:sz w:val="24"/>
        </w:rPr>
        <w:t xml:space="preserve"> </w:t>
      </w:r>
      <w:r>
        <w:rPr>
          <w:sz w:val="24"/>
        </w:rPr>
        <w:t>ori au</w:t>
      </w:r>
      <w:r>
        <w:rPr>
          <w:spacing w:val="1"/>
          <w:sz w:val="24"/>
        </w:rPr>
        <w:t xml:space="preserve"> </w:t>
      </w:r>
      <w:r>
        <w:rPr>
          <w:sz w:val="24"/>
        </w:rPr>
        <w:t>transmis materiale</w:t>
      </w:r>
      <w:r>
        <w:rPr>
          <w:spacing w:val="-2"/>
          <w:sz w:val="24"/>
        </w:rPr>
        <w:t xml:space="preserve"> </w:t>
      </w:r>
      <w:r>
        <w:rPr>
          <w:sz w:val="24"/>
        </w:rPr>
        <w:t>interzise/ciorne/foi</w:t>
      </w:r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lucrările</w:t>
      </w:r>
      <w:r>
        <w:rPr>
          <w:spacing w:val="-4"/>
          <w:sz w:val="24"/>
        </w:rPr>
        <w:t xml:space="preserve"> </w:t>
      </w:r>
      <w:r>
        <w:rPr>
          <w:sz w:val="24"/>
        </w:rPr>
        <w:t>scrise.</w:t>
      </w:r>
    </w:p>
    <w:p>
      <w:pPr>
        <w:pStyle w:val="7"/>
        <w:numPr>
          <w:ilvl w:val="0"/>
          <w:numId w:val="1"/>
        </w:numPr>
        <w:tabs>
          <w:tab w:val="left" w:pos="654"/>
        </w:tabs>
        <w:ind w:left="115" w:right="125" w:firstLine="180"/>
        <w:jc w:val="both"/>
        <w:rPr>
          <w:sz w:val="24"/>
        </w:rPr>
      </w:pPr>
      <w:r>
        <w:rPr>
          <w:sz w:val="24"/>
        </w:rPr>
        <w:t>Candidaţii eliminaţi de la o probă pentru fraudă sau tentativă de fraudă primesc nota 1</w:t>
      </w:r>
      <w:r>
        <w:rPr>
          <w:spacing w:val="1"/>
          <w:sz w:val="24"/>
        </w:rPr>
        <w:t xml:space="preserve"> </w:t>
      </w:r>
      <w:r>
        <w:rPr>
          <w:sz w:val="24"/>
        </w:rPr>
        <w:t>(unu)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lucrarea</w:t>
      </w:r>
      <w:r>
        <w:rPr>
          <w:spacing w:val="-6"/>
          <w:sz w:val="24"/>
        </w:rPr>
        <w:t xml:space="preserve"> </w:t>
      </w:r>
      <w:r>
        <w:rPr>
          <w:sz w:val="24"/>
        </w:rPr>
        <w:t>scrisă.</w:t>
      </w:r>
    </w:p>
    <w:p>
      <w:pPr>
        <w:pStyle w:val="7"/>
        <w:numPr>
          <w:ilvl w:val="0"/>
          <w:numId w:val="1"/>
        </w:numPr>
        <w:tabs>
          <w:tab w:val="left" w:pos="664"/>
        </w:tabs>
        <w:ind w:left="115" w:right="112" w:firstLine="180"/>
        <w:jc w:val="both"/>
        <w:rPr>
          <w:sz w:val="24"/>
        </w:rPr>
      </w:pPr>
      <w:r>
        <w:rPr>
          <w:sz w:val="24"/>
        </w:rPr>
        <w:t>Înainte de începerea probelor, asistenţii prezintă candidaţilor prevederile metodologice</w:t>
      </w:r>
      <w:r>
        <w:rPr>
          <w:spacing w:val="1"/>
          <w:sz w:val="24"/>
        </w:rPr>
        <w:t xml:space="preserve"> </w:t>
      </w:r>
      <w:r>
        <w:rPr>
          <w:sz w:val="24"/>
        </w:rPr>
        <w:t>legate de organizarea şi desfăşurarea corectă a evaluării naţionale şi prevederile alin. (1)-(7) şi</w:t>
      </w:r>
      <w:r>
        <w:rPr>
          <w:spacing w:val="1"/>
          <w:sz w:val="24"/>
        </w:rPr>
        <w:t xml:space="preserve"> </w:t>
      </w:r>
      <w:r>
        <w:rPr>
          <w:sz w:val="24"/>
        </w:rPr>
        <w:t>le solicită să predea toate eventualele materiale şi obiecte care, potrivit reglementărilor în</w:t>
      </w:r>
      <w:r>
        <w:rPr>
          <w:spacing w:val="1"/>
          <w:sz w:val="24"/>
        </w:rPr>
        <w:t xml:space="preserve"> </w:t>
      </w:r>
      <w:r>
        <w:rPr>
          <w:sz w:val="24"/>
        </w:rPr>
        <w:t>vigoare,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interzise</w:t>
      </w:r>
      <w:r>
        <w:rPr>
          <w:spacing w:val="-1"/>
          <w:sz w:val="24"/>
        </w:rPr>
        <w:t xml:space="preserve"> </w:t>
      </w:r>
      <w:r>
        <w:rPr>
          <w:sz w:val="24"/>
        </w:rPr>
        <w:t>în sala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examen.</w:t>
      </w:r>
    </w:p>
    <w:p>
      <w:pPr>
        <w:pStyle w:val="7"/>
        <w:numPr>
          <w:ilvl w:val="0"/>
          <w:numId w:val="1"/>
        </w:numPr>
        <w:tabs>
          <w:tab w:val="left" w:pos="632"/>
        </w:tabs>
        <w:ind w:left="115" w:right="116" w:firstLine="180"/>
        <w:jc w:val="both"/>
        <w:rPr>
          <w:sz w:val="24"/>
        </w:rPr>
      </w:pPr>
      <w:r>
        <w:rPr>
          <w:sz w:val="24"/>
        </w:rPr>
        <w:t>După parcurgerea paşilor menţionaţi la alin. (8), candidaţii vor semna un proces-verbal în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regăsesc</w:t>
      </w:r>
      <w:r>
        <w:rPr>
          <w:spacing w:val="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alin.</w:t>
      </w:r>
      <w:r>
        <w:rPr>
          <w:spacing w:val="1"/>
          <w:sz w:val="24"/>
        </w:rPr>
        <w:t xml:space="preserve"> </w:t>
      </w:r>
      <w:r>
        <w:rPr>
          <w:sz w:val="24"/>
        </w:rPr>
        <w:t>(1)-(7)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menţiunea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ştiu</w:t>
      </w:r>
      <w:r>
        <w:rPr>
          <w:spacing w:val="1"/>
          <w:sz w:val="24"/>
        </w:rPr>
        <w:t xml:space="preserve"> </w:t>
      </w:r>
      <w:r>
        <w:rPr>
          <w:sz w:val="24"/>
        </w:rPr>
        <w:t>că</w:t>
      </w:r>
      <w:r>
        <w:rPr>
          <w:spacing w:val="1"/>
          <w:sz w:val="24"/>
        </w:rPr>
        <w:t xml:space="preserve"> </w:t>
      </w:r>
      <w:r>
        <w:rPr>
          <w:sz w:val="24"/>
        </w:rPr>
        <w:t>nerespectarea</w:t>
      </w:r>
      <w:r>
        <w:rPr>
          <w:spacing w:val="1"/>
          <w:sz w:val="24"/>
        </w:rPr>
        <w:t xml:space="preserve"> </w:t>
      </w:r>
      <w:r>
        <w:rPr>
          <w:sz w:val="24"/>
        </w:rPr>
        <w:t>regulilor</w:t>
      </w:r>
      <w:r>
        <w:rPr>
          <w:spacing w:val="1"/>
          <w:sz w:val="24"/>
        </w:rPr>
        <w:t xml:space="preserve"> </w:t>
      </w:r>
      <w:r>
        <w:rPr>
          <w:sz w:val="24"/>
        </w:rPr>
        <w:t>menţionate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alin. (3)-(5)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drept consecinţă</w:t>
      </w:r>
      <w:r>
        <w:rPr>
          <w:spacing w:val="-2"/>
          <w:sz w:val="24"/>
        </w:rPr>
        <w:t xml:space="preserve"> </w:t>
      </w:r>
      <w:r>
        <w:rPr>
          <w:sz w:val="24"/>
        </w:rPr>
        <w:t>măsurile</w:t>
      </w:r>
      <w:r>
        <w:rPr>
          <w:spacing w:val="-2"/>
          <w:sz w:val="24"/>
        </w:rPr>
        <w:t xml:space="preserve"> </w:t>
      </w:r>
      <w:r>
        <w:rPr>
          <w:sz w:val="24"/>
        </w:rPr>
        <w:t>menţionate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alin.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(7).</w:t>
      </w:r>
    </w:p>
    <w:p>
      <w:pPr>
        <w:pStyle w:val="5"/>
        <w:ind w:left="0" w:firstLine="0"/>
        <w:jc w:val="left"/>
        <w:rPr>
          <w:sz w:val="26"/>
        </w:rPr>
      </w:pPr>
    </w:p>
    <w:p>
      <w:pPr>
        <w:pStyle w:val="5"/>
        <w:spacing w:before="6"/>
        <w:ind w:left="0" w:firstLine="0"/>
        <w:jc w:val="left"/>
        <w:rPr>
          <w:sz w:val="21"/>
        </w:rPr>
      </w:pPr>
    </w:p>
    <w:p>
      <w:pPr>
        <w:pStyle w:val="2"/>
      </w:pPr>
      <w:bookmarkStart w:id="1" w:name="EXTRAS_DIN_OMECTS_4801/31.08.2010"/>
      <w:bookmarkEnd w:id="1"/>
      <w:r>
        <w:t>EXTRAS</w:t>
      </w:r>
      <w:r>
        <w:rPr>
          <w:spacing w:val="-5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OMECTS</w:t>
      </w:r>
      <w:r>
        <w:rPr>
          <w:spacing w:val="-4"/>
        </w:rPr>
        <w:t xml:space="preserve"> </w:t>
      </w:r>
      <w:r>
        <w:t>4801/31.08.2010</w:t>
      </w:r>
    </w:p>
    <w:p>
      <w:pPr>
        <w:pStyle w:val="5"/>
        <w:spacing w:before="6"/>
        <w:ind w:right="113" w:firstLine="0"/>
      </w:pPr>
      <w:r>
        <w:rPr>
          <w:b/>
        </w:rPr>
        <w:t xml:space="preserve">Art.29. - (1) </w:t>
      </w:r>
      <w:r>
        <w:t>Elevii surprinsi având asupra lor manuale, dictionare, notite, însemnari, alte</w:t>
      </w:r>
      <w:r>
        <w:rPr>
          <w:spacing w:val="1"/>
        </w:rPr>
        <w:t xml:space="preserve"> </w:t>
      </w:r>
      <w:r>
        <w:t>materiale sau instrumente care ar putea fi folosite pentru copiat sau mijloace de comunicare cu</w:t>
      </w:r>
      <w:r>
        <w:rPr>
          <w:spacing w:val="-57"/>
        </w:rPr>
        <w:t xml:space="preserve"> </w:t>
      </w:r>
      <w:r>
        <w:t>exteriorul, cei surprinsi copiind în timpul desfasurarii Evaluarii Nationale, comunicând cu</w:t>
      </w:r>
      <w:r>
        <w:rPr>
          <w:spacing w:val="1"/>
        </w:rPr>
        <w:t xml:space="preserve"> </w:t>
      </w:r>
      <w:r>
        <w:t>ceilalti elevi sau comitând alte fapte menite sa le favorizeze rezolvarea subiectelor, primesc</w:t>
      </w:r>
      <w:r>
        <w:rPr>
          <w:spacing w:val="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(unu)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lucrarea</w:t>
      </w:r>
      <w:r>
        <w:rPr>
          <w:spacing w:val="-1"/>
        </w:rPr>
        <w:t xml:space="preserve"> </w:t>
      </w:r>
      <w:r>
        <w:t>respectiva;</w:t>
      </w:r>
      <w:r>
        <w:rPr>
          <w:spacing w:val="1"/>
        </w:rPr>
        <w:t xml:space="preserve"> </w:t>
      </w:r>
      <w:r>
        <w:t>tentativa</w:t>
      </w:r>
      <w:r>
        <w:rPr>
          <w:spacing w:val="-1"/>
        </w:rPr>
        <w:t xml:space="preserve"> </w:t>
      </w:r>
      <w:r>
        <w:t>de frauda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pedepseste în acelasi</w:t>
      </w:r>
      <w:r>
        <w:rPr>
          <w:spacing w:val="-1"/>
        </w:rPr>
        <w:t xml:space="preserve"> </w:t>
      </w:r>
      <w:r>
        <w:t>mod.</w:t>
      </w:r>
    </w:p>
    <w:p>
      <w:pPr>
        <w:pStyle w:val="7"/>
        <w:numPr>
          <w:ilvl w:val="0"/>
          <w:numId w:val="2"/>
        </w:numPr>
        <w:tabs>
          <w:tab w:val="left" w:pos="462"/>
        </w:tabs>
        <w:ind w:left="115" w:firstLine="0"/>
        <w:jc w:val="both"/>
        <w:rPr>
          <w:sz w:val="24"/>
        </w:rPr>
      </w:pPr>
      <w:r>
        <w:rPr>
          <w:sz w:val="24"/>
        </w:rPr>
        <w:t>În situatia în care frauda este dovedita dupa evaluarea lucrarii, nota obtinuta prin frauda se</w:t>
      </w:r>
      <w:r>
        <w:rPr>
          <w:spacing w:val="1"/>
          <w:sz w:val="24"/>
        </w:rPr>
        <w:t xml:space="preserve"> </w:t>
      </w:r>
      <w:r>
        <w:rPr>
          <w:sz w:val="24"/>
        </w:rPr>
        <w:t>anuleaza si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înlocuieste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1 (unu).</w:t>
      </w:r>
    </w:p>
    <w:p>
      <w:pPr>
        <w:pStyle w:val="7"/>
        <w:numPr>
          <w:ilvl w:val="0"/>
          <w:numId w:val="2"/>
        </w:numPr>
        <w:tabs>
          <w:tab w:val="left" w:pos="440"/>
        </w:tabs>
        <w:ind w:left="115" w:right="122" w:firstLine="0"/>
        <w:jc w:val="both"/>
        <w:rPr>
          <w:sz w:val="24"/>
        </w:rPr>
      </w:pPr>
      <w:r>
        <w:rPr>
          <w:sz w:val="24"/>
        </w:rPr>
        <w:t>Orice</w:t>
      </w:r>
      <w:r>
        <w:rPr>
          <w:spacing w:val="-13"/>
          <w:sz w:val="24"/>
        </w:rPr>
        <w:t xml:space="preserve"> </w:t>
      </w:r>
      <w:r>
        <w:rPr>
          <w:sz w:val="24"/>
        </w:rPr>
        <w:t>abatere</w:t>
      </w:r>
      <w:r>
        <w:rPr>
          <w:spacing w:val="-11"/>
          <w:sz w:val="24"/>
        </w:rPr>
        <w:t xml:space="preserve"> </w:t>
      </w:r>
      <w:r>
        <w:rPr>
          <w:sz w:val="24"/>
        </w:rPr>
        <w:t>comisa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elevi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dovedita</w:t>
      </w:r>
      <w:r>
        <w:rPr>
          <w:spacing w:val="-13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probe,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sanctioneaza</w:t>
      </w:r>
      <w:r>
        <w:rPr>
          <w:spacing w:val="-12"/>
          <w:sz w:val="24"/>
        </w:rPr>
        <w:t xml:space="preserve"> </w:t>
      </w:r>
      <w:r>
        <w:rPr>
          <w:sz w:val="24"/>
        </w:rPr>
        <w:t>conform</w:t>
      </w:r>
      <w:r>
        <w:rPr>
          <w:spacing w:val="-12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organizare</w:t>
      </w:r>
      <w:r>
        <w:rPr>
          <w:spacing w:val="1"/>
          <w:sz w:val="24"/>
        </w:rPr>
        <w:t xml:space="preserve"> </w:t>
      </w:r>
      <w:r>
        <w:rPr>
          <w:sz w:val="24"/>
        </w:rPr>
        <w:t>si functionare a</w:t>
      </w:r>
      <w:r>
        <w:rPr>
          <w:spacing w:val="-1"/>
          <w:sz w:val="24"/>
        </w:rPr>
        <w:t xml:space="preserve"> </w:t>
      </w:r>
      <w:r>
        <w:rPr>
          <w:sz w:val="24"/>
        </w:rPr>
        <w:t>unitatilor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învatamânt</w:t>
      </w:r>
      <w:r>
        <w:rPr>
          <w:spacing w:val="-11"/>
          <w:sz w:val="24"/>
        </w:rPr>
        <w:t xml:space="preserve"> </w:t>
      </w:r>
      <w:r>
        <w:rPr>
          <w:sz w:val="24"/>
        </w:rPr>
        <w:t>preuniversitar.</w:t>
      </w:r>
    </w:p>
    <w:sectPr>
      <w:type w:val="continuous"/>
      <w:pgSz w:w="11910" w:h="16840"/>
      <w:pgMar w:top="760" w:right="1260" w:bottom="280" w:left="13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90F30"/>
    <w:multiLevelType w:val="multilevel"/>
    <w:tmpl w:val="2D990F30"/>
    <w:lvl w:ilvl="0" w:tentative="0">
      <w:start w:val="2"/>
      <w:numFmt w:val="decimal"/>
      <w:lvlText w:val="(%1)"/>
      <w:lvlJc w:val="left"/>
      <w:pPr>
        <w:ind w:left="116" w:hanging="34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043" w:hanging="346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966" w:hanging="346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889" w:hanging="346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812" w:hanging="346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735" w:hanging="346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658" w:hanging="346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6581" w:hanging="346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7504" w:hanging="346"/>
      </w:pPr>
      <w:rPr>
        <w:rFonts w:hint="default"/>
        <w:lang w:val="ro-RO" w:eastAsia="en-US" w:bidi="ar-SA"/>
      </w:rPr>
    </w:lvl>
  </w:abstractNum>
  <w:abstractNum w:abstractNumId="1">
    <w:nsid w:val="574C39E8"/>
    <w:multiLevelType w:val="multilevel"/>
    <w:tmpl w:val="574C39E8"/>
    <w:lvl w:ilvl="0" w:tentative="0">
      <w:start w:val="2"/>
      <w:numFmt w:val="decimal"/>
      <w:lvlText w:val="(%1)"/>
      <w:lvlJc w:val="left"/>
      <w:pPr>
        <w:ind w:left="116" w:hanging="35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043" w:hanging="353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1966" w:hanging="353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889" w:hanging="353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812" w:hanging="353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735" w:hanging="353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658" w:hanging="353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6581" w:hanging="353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7504" w:hanging="353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C29"/>
    <w:rsid w:val="004B6CD0"/>
    <w:rsid w:val="00F61C29"/>
    <w:rsid w:val="02E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qFormat/>
    <w:uiPriority w:val="1"/>
    <w:pPr>
      <w:ind w:left="1449" w:right="1362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5" w:firstLine="180"/>
      <w:jc w:val="both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73"/>
      <w:ind w:left="1449" w:right="1477"/>
      <w:jc w:val="center"/>
    </w:pPr>
    <w:rPr>
      <w:b/>
      <w:bCs/>
      <w:sz w:val="36"/>
      <w:szCs w:val="36"/>
    </w:rPr>
  </w:style>
  <w:style w:type="paragraph" w:styleId="7">
    <w:name w:val="List Paragraph"/>
    <w:basedOn w:val="1"/>
    <w:qFormat/>
    <w:uiPriority w:val="1"/>
    <w:pPr>
      <w:ind w:left="115" w:right="118" w:firstLine="180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3261</Characters>
  <Lines>27</Lines>
  <Paragraphs>7</Paragraphs>
  <TotalTime>1</TotalTime>
  <ScaleCrop>false</ScaleCrop>
  <LinksUpToDate>false</LinksUpToDate>
  <CharactersWithSpaces>3816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2021-06-13T18:23:00Z</dcterms:created>
  <dc:creator>User</dc:creator>
  <cp:lastModifiedBy>Cuzmanov</cp:lastModifiedBy>
  <dcterms:modified xsi:type="dcterms:W3CDTF">2021-06-15T06:35:01Z</dcterms:modified>
  <dc:title>Microsoft Word - Anunt 1 (frauda)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2021-06-13T00:00:00Z</vt:filetime>
  </property>
  <property fmtid="{D5CDD505-2E9C-101B-9397-08002B2CF9AE}" pid="5" name="KSOProductBuildVer">
    <vt:lpwstr>1033-11.2.0.10152</vt:lpwstr>
  </property>
</Properties>
</file>